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B208" w14:textId="77777777" w:rsidR="00A82AEF" w:rsidRDefault="00A82AEF" w:rsidP="00A82AEF"/>
    <w:p w14:paraId="12B3C6A2" w14:textId="77777777" w:rsidR="00A82AEF" w:rsidRDefault="00A82AEF" w:rsidP="00A82AEF">
      <w:r>
        <w:t xml:space="preserve">Título:  </w:t>
      </w:r>
    </w:p>
    <w:p w14:paraId="15D7F3B8" w14:textId="77777777" w:rsidR="00A82AEF" w:rsidRDefault="00A82AEF" w:rsidP="00A82AEF">
      <w:r>
        <w:t>Promoção de Direitos e Justiça Social para Comunidades Tradicionais: Atuação Integrada do NUPIR junto às Comunidades Caiçaras das Ilhas Búzios e Vitória (Ilhabela), Quilombo do Carmo (São Roque), Quilombo do Jaó (Itapeva) e Comunidade Tradicional dos Ilhéus do Rio Paraná (Rosana)</w:t>
      </w:r>
    </w:p>
    <w:p w14:paraId="18AD9C88" w14:textId="77777777" w:rsidR="00A82AEF" w:rsidRDefault="00A82AEF" w:rsidP="00A82AEF"/>
    <w:p w14:paraId="575ADA35" w14:textId="77777777" w:rsidR="00A82AEF" w:rsidRDefault="00A82AEF" w:rsidP="00A82AEF">
      <w:r>
        <w:t xml:space="preserve">Resumo:  </w:t>
      </w:r>
    </w:p>
    <w:p w14:paraId="5372040F" w14:textId="77777777" w:rsidR="00A82AEF" w:rsidRDefault="00A82AEF" w:rsidP="00A82AEF">
      <w:r>
        <w:t>O Núcleo Especializado de Promoção da Igualdade Racial e de Defesa dos Povos e Comunidades Tradicionais (NUPIR) da Defensoria Pública do Estado de São Paulo desenvolveu, entre março e agosto de 2025, uma atuação estratégica, articulada e multidisciplinar em defesa dos direitos fundamentais de comunidades tradicionais, com destaque para três experiências exitosas: (1) garantia do direito à água e saneamento para as Comunidades Caiçaras das Ilhas Búzios e Vitória (Ilhabela); (2) promoção de políticas públicas e infraestrutura para os Quilombos do Carmo (São Roque) e Jaó (Itapeva); (3) defesa dos direitos territoriais, acesso a políticas públicas e reconhecimento da Comunidade Tradicional dos Ilhéus do Rio Paraná (Rosana). A seguir, detalha-se cada uma dessas frentes.</w:t>
      </w:r>
    </w:p>
    <w:p w14:paraId="5812A75D" w14:textId="77777777" w:rsidR="00A82AEF" w:rsidRDefault="00A82AEF" w:rsidP="00A82AEF"/>
    <w:p w14:paraId="5EAB748C" w14:textId="77777777" w:rsidR="00A82AEF" w:rsidRDefault="00A82AEF" w:rsidP="00A82AEF">
      <w:r>
        <w:t>---</w:t>
      </w:r>
    </w:p>
    <w:p w14:paraId="72A30FEC" w14:textId="77777777" w:rsidR="00A82AEF" w:rsidRDefault="00A82AEF" w:rsidP="00A82AEF"/>
    <w:p w14:paraId="74A6D49B" w14:textId="77777777" w:rsidR="00A82AEF" w:rsidRDefault="00A82AEF" w:rsidP="00A82AEF">
      <w:r>
        <w:t>1. Comunidades Caiçaras das Ilhas Búzios e Vitória (Ilhabela): Garantia do Direito à Água e Saneamento</w:t>
      </w:r>
    </w:p>
    <w:p w14:paraId="3F373286" w14:textId="77777777" w:rsidR="00A82AEF" w:rsidRDefault="00A82AEF" w:rsidP="00A82AEF"/>
    <w:p w14:paraId="439A0E07" w14:textId="77777777" w:rsidR="00A82AEF" w:rsidRDefault="00A82AEF" w:rsidP="00A82AEF">
      <w:r>
        <w:t xml:space="preserve">Contexto e Descrição:  </w:t>
      </w:r>
    </w:p>
    <w:p w14:paraId="08190A19" w14:textId="77777777" w:rsidR="00A82AEF" w:rsidRDefault="00A82AEF" w:rsidP="00A82AEF">
      <w:r>
        <w:t>As comunidades caiçaras das Ilhas Búzios e Vitória, em Ilhabela, enfrentavam grave escassez de água potável, ausência de saneamento básico e dificuldades de acesso a políticas públicas essenciais. Após denúncias e mobilização comunitária, o NUPIR instaurou procedimento administrativo (PA DOL 4900608/2024), realizou visitas técnicas, reuniões com a Prefeitura, SABESP e órgãos de saúde, e coletou dados sobre a situação demográfica, sanitária e de saúde das comunidades.</w:t>
      </w:r>
    </w:p>
    <w:p w14:paraId="43A5159B" w14:textId="77777777" w:rsidR="00A82AEF" w:rsidRDefault="00A82AEF" w:rsidP="00A82AEF"/>
    <w:p w14:paraId="2F3AC1D0" w14:textId="77777777" w:rsidR="00A82AEF" w:rsidRDefault="00A82AEF" w:rsidP="00A82AEF">
      <w:r>
        <w:t>Ações e Estratégias:</w:t>
      </w:r>
    </w:p>
    <w:p w14:paraId="7C2A0E9E" w14:textId="77777777" w:rsidR="00A82AEF" w:rsidRDefault="00A82AEF" w:rsidP="00A82AEF">
      <w:r>
        <w:t>- Envio de ofícios à Prefeitura e SABESP requisitando informações detalhadas sobre o fornecimento de água, volume mínimo recomendado, monitoramento de poços e minas, e políticas de prevenção para períodos de seca.</w:t>
      </w:r>
    </w:p>
    <w:p w14:paraId="747FBD3B" w14:textId="77777777" w:rsidR="00A82AEF" w:rsidRDefault="00A82AEF" w:rsidP="00A82AEF">
      <w:r>
        <w:t>- Realização de reunião virtual com órgãos municipais e concessionária para discutir soluções emergenciais e estruturais.</w:t>
      </w:r>
    </w:p>
    <w:p w14:paraId="638B67C2" w14:textId="77777777" w:rsidR="00A82AEF" w:rsidRDefault="00A82AEF" w:rsidP="00A82AEF">
      <w:r>
        <w:lastRenderedPageBreak/>
        <w:t>- Proposição de Ação Civil Pública (ACP) para garantir o fornecimento regular de água potável, com base em padrões internacionais de direitos humanos.</w:t>
      </w:r>
    </w:p>
    <w:p w14:paraId="761869E5" w14:textId="77777777" w:rsidR="00A82AEF" w:rsidRDefault="00A82AEF" w:rsidP="00A82AEF">
      <w:r>
        <w:t>- Obtenção de liminar judicial determinando o fornecimento de água em até 10 dias e, em até 90 dias, a instalação de caixas d’água e sistema de distribuição e tratamento para os imóveis das comunidades.</w:t>
      </w:r>
    </w:p>
    <w:p w14:paraId="21A37007" w14:textId="77777777" w:rsidR="00A82AEF" w:rsidRDefault="00A82AEF" w:rsidP="00A82AEF"/>
    <w:p w14:paraId="160D7D82" w14:textId="77777777" w:rsidR="00A82AEF" w:rsidRDefault="00A82AEF" w:rsidP="00A82AEF">
      <w:r>
        <w:t>Resultados:</w:t>
      </w:r>
    </w:p>
    <w:p w14:paraId="1E94AA36" w14:textId="77777777" w:rsidR="00A82AEF" w:rsidRDefault="00A82AEF" w:rsidP="00A82AEF">
      <w:r>
        <w:t>- Decisão liminar favorável, obrigando o poder público a garantir o direito à água, com parâmetros mínimos de dignidade.</w:t>
      </w:r>
    </w:p>
    <w:p w14:paraId="4852A61E" w14:textId="77777777" w:rsidR="00A82AEF" w:rsidRDefault="00A82AEF" w:rsidP="00A82AEF">
      <w:r>
        <w:t>- Mobilização intersetorial e fortalecimento do protagonismo comunitário.</w:t>
      </w:r>
    </w:p>
    <w:p w14:paraId="25BBB833" w14:textId="77777777" w:rsidR="00A82AEF" w:rsidRDefault="00A82AEF" w:rsidP="00A82AEF">
      <w:r>
        <w:t>- Estabelecimento de fluxo permanente de diálogo entre comunidade, Defensoria, Prefeitura e SABESP para monitoramento das ações.</w:t>
      </w:r>
    </w:p>
    <w:p w14:paraId="2D963433" w14:textId="77777777" w:rsidR="00A82AEF" w:rsidRDefault="00A82AEF" w:rsidP="00A82AEF"/>
    <w:p w14:paraId="765D60CA" w14:textId="77777777" w:rsidR="00A82AEF" w:rsidRDefault="00A82AEF" w:rsidP="00A82AEF">
      <w:r>
        <w:t>Diferencial:</w:t>
      </w:r>
    </w:p>
    <w:p w14:paraId="77572488" w14:textId="77777777" w:rsidR="00A82AEF" w:rsidRDefault="00A82AEF" w:rsidP="00A82AEF">
      <w:r>
        <w:t>- Atuação judicial e extrajudicial articulada, com escuta ativa das comunidades e produção de diagnóstico técnico-social.</w:t>
      </w:r>
    </w:p>
    <w:p w14:paraId="65217F0C" w14:textId="77777777" w:rsidR="00A82AEF" w:rsidRDefault="00A82AEF" w:rsidP="00A82AEF">
      <w:r>
        <w:t>- Defesa do direito humano à água como dimensão da justiça social e climática.</w:t>
      </w:r>
    </w:p>
    <w:p w14:paraId="5113E31F" w14:textId="77777777" w:rsidR="00A82AEF" w:rsidRDefault="00A82AEF" w:rsidP="00A82AEF"/>
    <w:p w14:paraId="41204B16" w14:textId="77777777" w:rsidR="00A82AEF" w:rsidRDefault="00A82AEF" w:rsidP="00A82AEF"/>
    <w:p w14:paraId="0EED67C2" w14:textId="77777777" w:rsidR="00A82AEF" w:rsidRDefault="00A82AEF" w:rsidP="00A82AEF">
      <w:r>
        <w:t>2. Quilombo do Carmo (São Roque) e Quilombo do Jaó (Itapeva): Promoção de Políticas Públicas, Infraestrutura e Regularização</w:t>
      </w:r>
    </w:p>
    <w:p w14:paraId="44B24303" w14:textId="77777777" w:rsidR="00A82AEF" w:rsidRDefault="00A82AEF" w:rsidP="00A82AEF"/>
    <w:p w14:paraId="05C19326" w14:textId="77777777" w:rsidR="00A82AEF" w:rsidRDefault="00A82AEF" w:rsidP="00A82AEF">
      <w:r>
        <w:t xml:space="preserve">Contexto e Descrição:  </w:t>
      </w:r>
    </w:p>
    <w:p w14:paraId="6E36D019" w14:textId="77777777" w:rsidR="00A82AEF" w:rsidRDefault="00A82AEF" w:rsidP="00A82AEF">
      <w:r>
        <w:t>Os Quilombos do Carmo (São Roque) e Jaó (Itapeva) enfrentam desafios históricos de acesso à água potável, saneamento, infraestrutura, educação, assistência social e regularização fundiária. O NUPIR instaurou procedimentos administrativos (PA DOL 2790837/2022 – Carmo; PA DOL 5143638/2025 – Jaó), realizou visitas técnicas, reuniões com órgãos municipais, estaduais e federais, e articulou ações com o Ministério Público, DPU, INCRA e SABESP.</w:t>
      </w:r>
    </w:p>
    <w:p w14:paraId="47DA513B" w14:textId="77777777" w:rsidR="00A82AEF" w:rsidRDefault="00A82AEF" w:rsidP="00A82AEF"/>
    <w:p w14:paraId="1D6B31E8" w14:textId="77777777" w:rsidR="00A82AEF" w:rsidRDefault="00A82AEF" w:rsidP="00A82AEF">
      <w:r>
        <w:t>Ações e Estratégias:</w:t>
      </w:r>
    </w:p>
    <w:p w14:paraId="34665338" w14:textId="77777777" w:rsidR="00A82AEF" w:rsidRDefault="00A82AEF" w:rsidP="00A82AEF">
      <w:r>
        <w:t>- Proposição e acompanhamento de Ação Civil Pública para garantir abastecimento de água e coleta de esgoto no Quilombo do Carmo, com atuação conjunta com a Defensoria Pública da União.</w:t>
      </w:r>
    </w:p>
    <w:p w14:paraId="54935F30" w14:textId="77777777" w:rsidR="00A82AEF" w:rsidRDefault="00A82AEF" w:rsidP="00A82AEF">
      <w:r>
        <w:t>- Monitoramento da execução de liminar que determinou o fornecimento de água por caminhão-pipa e instalação de rede de abastecimento.</w:t>
      </w:r>
    </w:p>
    <w:p w14:paraId="34B79818" w14:textId="77777777" w:rsidR="00A82AEF" w:rsidRDefault="00A82AEF" w:rsidP="00A82AEF">
      <w:r>
        <w:lastRenderedPageBreak/>
        <w:t>- Ofícios à Prefeitura de Itapeva, INCRA e FESP para instalação de novo poço no Quilombo do Jaó, além de demandas por saneamento, saúde, iluminação, pavimentação e educação quilombola.</w:t>
      </w:r>
    </w:p>
    <w:p w14:paraId="02529A87" w14:textId="77777777" w:rsidR="00A82AEF" w:rsidRDefault="00A82AEF" w:rsidP="00A82AEF">
      <w:r>
        <w:t>- Articulação para oferta de Educação de Jovens e Adultos (EJA) e contratação de profissionais quilombolas para a escola da comunidade.</w:t>
      </w:r>
    </w:p>
    <w:p w14:paraId="35FEDD4C" w14:textId="77777777" w:rsidR="00A82AEF" w:rsidRDefault="00A82AEF" w:rsidP="00A82AEF">
      <w:r>
        <w:t>- Reuniões com a Secretaria de Assistência Social para garantir atendimento itinerante do CRAS e atualização do CadÚnico.</w:t>
      </w:r>
    </w:p>
    <w:p w14:paraId="0D7C858E" w14:textId="77777777" w:rsidR="00A82AEF" w:rsidRDefault="00A82AEF" w:rsidP="00A82AEF"/>
    <w:p w14:paraId="7D1C5400" w14:textId="77777777" w:rsidR="00A82AEF" w:rsidRDefault="00A82AEF" w:rsidP="00A82AEF">
      <w:r>
        <w:t>Resultados:</w:t>
      </w:r>
    </w:p>
    <w:p w14:paraId="42CF85C7" w14:textId="77777777" w:rsidR="00A82AEF" w:rsidRDefault="00A82AEF" w:rsidP="00A82AEF">
      <w:r>
        <w:t>- Garantia do fornecimento emergencial de água e avanço na instalação de rede de abastecimento.</w:t>
      </w:r>
    </w:p>
    <w:p w14:paraId="2E4BEDD9" w14:textId="77777777" w:rsidR="00A82AEF" w:rsidRDefault="00A82AEF" w:rsidP="00A82AEF">
      <w:r>
        <w:t>- Reconhecimento oficial da escola quilombola, com oferta de EJA e contratação de profissionais da própria comunidade.</w:t>
      </w:r>
    </w:p>
    <w:p w14:paraId="31F06D68" w14:textId="77777777" w:rsidR="00A82AEF" w:rsidRDefault="00A82AEF" w:rsidP="00A82AEF">
      <w:r>
        <w:t>- Pressão institucional para retomada do atendimento itinerante do CRAS e inclusão das famílias em políticas de assistência social.</w:t>
      </w:r>
    </w:p>
    <w:p w14:paraId="6FA204DF" w14:textId="77777777" w:rsidR="00A82AEF" w:rsidRDefault="00A82AEF" w:rsidP="00A82AEF">
      <w:r>
        <w:t>- Fortalecimento da articulação interinstitucional e do protagonismo das lideranças quilombolas.</w:t>
      </w:r>
    </w:p>
    <w:p w14:paraId="35A1D3E7" w14:textId="77777777" w:rsidR="00A82AEF" w:rsidRDefault="00A82AEF" w:rsidP="00A82AEF"/>
    <w:p w14:paraId="1C4B062F" w14:textId="77777777" w:rsidR="00A82AEF" w:rsidRDefault="00A82AEF" w:rsidP="00A82AEF">
      <w:r>
        <w:t>Diferencial:</w:t>
      </w:r>
    </w:p>
    <w:p w14:paraId="0538F492" w14:textId="77777777" w:rsidR="00A82AEF" w:rsidRDefault="00A82AEF" w:rsidP="00A82AEF">
      <w:r>
        <w:t>- Atuação coletiva, com integração entre Defensoria, órgãos públicos e movimentos sociais.</w:t>
      </w:r>
    </w:p>
    <w:p w14:paraId="750B410E" w14:textId="77777777" w:rsidR="00A82AEF" w:rsidRDefault="00A82AEF" w:rsidP="00A82AEF">
      <w:r>
        <w:t>- Defesa dos direitos territoriais, culturais e sociais como dimensões indissociáveis da igualdade racial.</w:t>
      </w:r>
    </w:p>
    <w:p w14:paraId="4BCBA2E2" w14:textId="77777777" w:rsidR="00A82AEF" w:rsidRDefault="00A82AEF" w:rsidP="00A82AEF"/>
    <w:p w14:paraId="5E34880C" w14:textId="77777777" w:rsidR="00A82AEF" w:rsidRDefault="00A82AEF" w:rsidP="00A82AEF">
      <w:r>
        <w:t>---</w:t>
      </w:r>
    </w:p>
    <w:p w14:paraId="20542D4C" w14:textId="77777777" w:rsidR="00A82AEF" w:rsidRDefault="00A82AEF" w:rsidP="00A82AEF"/>
    <w:p w14:paraId="585A7687" w14:textId="77777777" w:rsidR="00A82AEF" w:rsidRDefault="00A82AEF" w:rsidP="00A82AEF">
      <w:r>
        <w:t>3. Comunidade Tradicional dos Ilhéus do Rio Paraná (Rosana): Defesa de Direitos Territoriais, Políticas Públicas e Reconhecimento</w:t>
      </w:r>
    </w:p>
    <w:p w14:paraId="2182028B" w14:textId="77777777" w:rsidR="00A82AEF" w:rsidRDefault="00A82AEF" w:rsidP="00A82AEF"/>
    <w:p w14:paraId="13A85EBF" w14:textId="77777777" w:rsidR="00A82AEF" w:rsidRDefault="00A82AEF" w:rsidP="00A82AEF">
      <w:r>
        <w:t xml:space="preserve">Contexto e Descrição:  </w:t>
      </w:r>
    </w:p>
    <w:p w14:paraId="3D478D78" w14:textId="77777777" w:rsidR="00A82AEF" w:rsidRDefault="00A82AEF" w:rsidP="00A82AEF">
      <w:r>
        <w:t>A Comunidade Tradicional dos Ilhéus do Rio Paraná, composta por 28 famílias distribuídas em cinco ilhas, enfrentava ausência de políticas públicas, dificuldades de acesso à energia elétrica, água potável, saneamento, saúde, transporte escolar fluvial e reconhecimento como comunidade tradicional. O NUPIR instaurou procedimento administrativo (PA DOL 5399289/2025), realizou visita técnica, reuniões com a Prefeitura, Elektro, SABESP, Secretaria de Saúde, Agricultura e Assistência Social, além de articulação com o Ministério Público e ICMBio.</w:t>
      </w:r>
    </w:p>
    <w:p w14:paraId="7D0B0464" w14:textId="77777777" w:rsidR="00A82AEF" w:rsidRDefault="00A82AEF" w:rsidP="00A82AEF"/>
    <w:p w14:paraId="2AB45B54" w14:textId="77777777" w:rsidR="00A82AEF" w:rsidRDefault="00A82AEF" w:rsidP="00A82AEF">
      <w:r>
        <w:t>Ações e Estratégias:</w:t>
      </w:r>
    </w:p>
    <w:p w14:paraId="642067AD" w14:textId="77777777" w:rsidR="00A82AEF" w:rsidRDefault="00A82AEF" w:rsidP="00A82AEF">
      <w:r>
        <w:t>- Ofícios à Polícia Militar Ambiental, Prefeitura, Elektro, SABESP, Secretaria de Saúde e Assistência Social para levantamento de demandas e cobrança de políticas públicas específicas para as ilhas.</w:t>
      </w:r>
    </w:p>
    <w:p w14:paraId="4A364099" w14:textId="77777777" w:rsidR="00A82AEF" w:rsidRDefault="00A82AEF" w:rsidP="00A82AEF">
      <w:r>
        <w:t>- Visita técnica para diagnóstico das condições de energia elétrica, água, saneamento, saúde, educação e transporte.</w:t>
      </w:r>
    </w:p>
    <w:p w14:paraId="1E5904E0" w14:textId="77777777" w:rsidR="00A82AEF" w:rsidRDefault="00A82AEF" w:rsidP="00A82AEF">
      <w:r>
        <w:t>- Solicitação de informações sobre manutenção do serviço de transporte escolar fluvial (bote-escola) e possibilidade de transporte público regular entre as ilhas e a cidade.</w:t>
      </w:r>
    </w:p>
    <w:p w14:paraId="581CD04D" w14:textId="77777777" w:rsidR="00A82AEF" w:rsidRDefault="00A82AEF" w:rsidP="00A82AEF">
      <w:r>
        <w:t>- Cobrança de inclusão da comunidade em programas de agricultura familiar e assistência social.</w:t>
      </w:r>
    </w:p>
    <w:p w14:paraId="64700C63" w14:textId="77777777" w:rsidR="00A82AEF" w:rsidRDefault="00A82AEF" w:rsidP="00A82AEF">
      <w:r>
        <w:t>- Defesa do reconhecimento formal da comunidade como tradicional, com vistas à proteção de direitos territoriais e culturais.</w:t>
      </w:r>
    </w:p>
    <w:p w14:paraId="399819D1" w14:textId="77777777" w:rsidR="00A82AEF" w:rsidRDefault="00A82AEF" w:rsidP="00A82AEF"/>
    <w:p w14:paraId="1B233754" w14:textId="77777777" w:rsidR="00A82AEF" w:rsidRDefault="00A82AEF" w:rsidP="00A82AEF">
      <w:r>
        <w:t>Resultados:</w:t>
      </w:r>
    </w:p>
    <w:p w14:paraId="310E412C" w14:textId="77777777" w:rsidR="00A82AEF" w:rsidRDefault="00A82AEF" w:rsidP="00A82AEF">
      <w:r>
        <w:t>- Resposta da Polícia Militar Ambiental reconhecendo o caráter tradicional da comunidade e ausência de autuações recentes.</w:t>
      </w:r>
    </w:p>
    <w:p w14:paraId="0AE6FC8B" w14:textId="77777777" w:rsidR="00A82AEF" w:rsidRDefault="00A82AEF" w:rsidP="00A82AEF">
      <w:r>
        <w:t>- Limpeza e manutenção da rede elétrica pela Elektro, após ofício do NUPIR.</w:t>
      </w:r>
    </w:p>
    <w:p w14:paraId="5A7325E1" w14:textId="77777777" w:rsidR="00A82AEF" w:rsidRDefault="00A82AEF" w:rsidP="00A82AEF">
      <w:r>
        <w:t>- Avanço no diálogo para implantação de tarifa rural de energia e inclusão em políticas de agricultura familiar.</w:t>
      </w:r>
    </w:p>
    <w:p w14:paraId="0E810A39" w14:textId="77777777" w:rsidR="00A82AEF" w:rsidRDefault="00A82AEF" w:rsidP="00A82AEF">
      <w:r>
        <w:t>- Pressão institucional para retomada de ações de saúde, assistência social e transporte escolar fluvial.</w:t>
      </w:r>
    </w:p>
    <w:p w14:paraId="0771EC40" w14:textId="77777777" w:rsidR="00A82AEF" w:rsidRDefault="00A82AEF" w:rsidP="00A82AEF"/>
    <w:p w14:paraId="388107ED" w14:textId="77777777" w:rsidR="00A82AEF" w:rsidRDefault="00A82AEF" w:rsidP="00A82AEF">
      <w:r>
        <w:t>Diferencial:</w:t>
      </w:r>
    </w:p>
    <w:p w14:paraId="4919DD2C" w14:textId="77777777" w:rsidR="00A82AEF" w:rsidRDefault="00A82AEF" w:rsidP="00A82AEF">
      <w:r>
        <w:t>- Atuação multidisciplinar, com diagnóstico técnico-social e articulação intersetorial.</w:t>
      </w:r>
    </w:p>
    <w:p w14:paraId="0046C52B" w14:textId="77777777" w:rsidR="00A82AEF" w:rsidRDefault="00A82AEF" w:rsidP="00A82AEF">
      <w:r>
        <w:t>- Defesa do direito ao território, à identidade e à cidadania das comunidades tradicionais ribeirinhas.</w:t>
      </w:r>
    </w:p>
    <w:p w14:paraId="3606B07A" w14:textId="77777777" w:rsidR="00A82AEF" w:rsidRDefault="00A82AEF" w:rsidP="00A82AEF"/>
    <w:p w14:paraId="39AD1875" w14:textId="77777777" w:rsidR="00A82AEF" w:rsidRDefault="00A82AEF" w:rsidP="00A82AEF">
      <w:r>
        <w:t>---</w:t>
      </w:r>
    </w:p>
    <w:p w14:paraId="40900417" w14:textId="77777777" w:rsidR="00A82AEF" w:rsidRDefault="00A82AEF" w:rsidP="00A82AEF"/>
    <w:p w14:paraId="6FF9BA0C" w14:textId="77777777" w:rsidR="00A82AEF" w:rsidRDefault="00A82AEF" w:rsidP="00A82AEF">
      <w:r>
        <w:t xml:space="preserve">Impacto e Replicabilidade:  </w:t>
      </w:r>
    </w:p>
    <w:p w14:paraId="5A635A70" w14:textId="77777777" w:rsidR="00A82AEF" w:rsidRDefault="00A82AEF" w:rsidP="00A82AEF">
      <w:r>
        <w:t xml:space="preserve">Essas três experiências demonstram a capacidade do NUPIR de articular estratégias jurídicas, políticas e sociais para enfrentar desigualdades históricas, promover justiça social e climática, e garantir a efetividade dos direitos das comunidades tradicionais. O modelo é replicável em outros contextos, especialmente pela integração entre atuação </w:t>
      </w:r>
      <w:r>
        <w:lastRenderedPageBreak/>
        <w:t>judicial, extrajudicial, produção de diagnósticos, educação em direitos e mobilização comunitária.</w:t>
      </w:r>
    </w:p>
    <w:p w14:paraId="30917319" w14:textId="77777777" w:rsidR="00A82AEF" w:rsidRDefault="00A82AEF" w:rsidP="00A82AEF"/>
    <w:p w14:paraId="56F95BF3" w14:textId="77777777" w:rsidR="00A82AEF" w:rsidRDefault="00A82AEF" w:rsidP="00A82AEF">
      <w:r>
        <w:t xml:space="preserve">Conclusão:  </w:t>
      </w:r>
    </w:p>
    <w:p w14:paraId="37495943" w14:textId="77777777" w:rsidR="00A82AEF" w:rsidRDefault="00A82AEF" w:rsidP="00A82AEF">
      <w:r>
        <w:t>A atuação do NUPIR consolidou práticas exitosas de defesa coletiva, reparação de danos, promoção de políticas públicas e fortalecimento do protagonismo das comunidades tradicionais, reafirmando o papel da Defensoria Pública como agente de transformação social e garantia de direitos fundamentais.</w:t>
      </w:r>
    </w:p>
    <w:p w14:paraId="13F22CF8" w14:textId="77777777" w:rsidR="00A82AEF" w:rsidRDefault="00A82AEF" w:rsidP="00A82AEF"/>
    <w:p w14:paraId="4CB3E076" w14:textId="77777777" w:rsidR="00A82AEF" w:rsidRDefault="00A82AEF" w:rsidP="00A82AEF">
      <w:r>
        <w:t xml:space="preserve">Fontes e comprovação:  </w:t>
      </w:r>
    </w:p>
    <w:p w14:paraId="2BB6FBD1" w14:textId="77777777" w:rsidR="00A82AEF" w:rsidRDefault="00A82AEF" w:rsidP="00A82AEF">
      <w:r>
        <w:t>- PA DOL 4900608/2024 – Comunidades Caiçaras de Búzios e Vitória (Ilhabela)</w:t>
      </w:r>
    </w:p>
    <w:p w14:paraId="25E73873" w14:textId="77777777" w:rsidR="00A82AEF" w:rsidRDefault="00A82AEF" w:rsidP="00A82AEF">
      <w:r>
        <w:t>- PA DOL 2790837/2022 – Quilombo do Carmo (São Roque)</w:t>
      </w:r>
    </w:p>
    <w:p w14:paraId="326D5E1B" w14:textId="77777777" w:rsidR="00A82AEF" w:rsidRDefault="00A82AEF" w:rsidP="00A82AEF">
      <w:r>
        <w:t>- PA DOL 5143638/2025 – Quilombo do Jaó (Itapeva)</w:t>
      </w:r>
    </w:p>
    <w:p w14:paraId="28C012D8" w14:textId="77777777" w:rsidR="00A82AEF" w:rsidRDefault="00A82AEF" w:rsidP="00A82AEF">
      <w:r>
        <w:t>- PA DOL 5399289/2025 – Comunidade Tradicional dos Ilhéus do Rio Paraná (Rosana)</w:t>
      </w:r>
    </w:p>
    <w:p w14:paraId="45E72D8E" w14:textId="42803CC5" w:rsidR="00146FB5" w:rsidRDefault="00A82AEF" w:rsidP="00A82AEF">
      <w:r>
        <w:t xml:space="preserve">- Matérias de imprensa: </w:t>
      </w:r>
      <w:hyperlink r:id="rId4" w:history="1">
        <w:r w:rsidRPr="00767DE0">
          <w:rPr>
            <w:rStyle w:val="Hyperlink"/>
          </w:rPr>
          <w:t>https://noticiasdaspraias.com/2025/06/26/falta-dagua-nas-ilhas-buzios-e-vitoria-prefeitura-de-ilhabela-afirma-que-cobra-da-sabesp-o-abastecimento-mas-que-nao-obteve-respostas/</w:t>
        </w:r>
      </w:hyperlink>
      <w:r>
        <w:t xml:space="preserve"> </w:t>
      </w:r>
    </w:p>
    <w:sectPr w:rsidR="00146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EF"/>
    <w:rsid w:val="00146FB5"/>
    <w:rsid w:val="003759DD"/>
    <w:rsid w:val="00966837"/>
    <w:rsid w:val="00A82AEF"/>
    <w:rsid w:val="00D835F5"/>
    <w:rsid w:val="00E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CA26"/>
  <w15:chartTrackingRefBased/>
  <w15:docId w15:val="{2FF1A062-7B80-4A07-BF89-9F22742E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2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2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2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2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2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2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2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2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2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2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2A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2A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2A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2A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2A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2A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2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2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2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2A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2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2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2A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2A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82A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ticiasdaspraias.com/2025/06/26/falta-dagua-nas-ilhas-buzios-e-vitoria-prefeitura-de-ilhabela-afirma-que-cobra-da-sabesp-o-abastecimento-mas-que-nao-obteve-respost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7208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Conceicao Silva Silva</dc:creator>
  <cp:keywords/>
  <dc:description/>
  <cp:lastModifiedBy>Jordana de Matos Nunes Rolim</cp:lastModifiedBy>
  <cp:revision>2</cp:revision>
  <dcterms:created xsi:type="dcterms:W3CDTF">2025-10-06T13:58:00Z</dcterms:created>
  <dcterms:modified xsi:type="dcterms:W3CDTF">2025-10-06T13:58:00Z</dcterms:modified>
</cp:coreProperties>
</file>