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09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Eu, ___________________________________________________________ Defensora Pública/Defensor Público do Estado de São Paulo, ciente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 trânsito em julgado do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mandado de segurança coletivo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0039127-63.2012.8.26.0053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impetrado pela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Associação Paulista das Defensoras e Defensores Públicos - APADEP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contra 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Superintendente do Instituto de Assistência Médica ao Servidor Público Estadual – IAMSPE,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informo que sou associada/o da APADEP e que: </w:t>
      </w:r>
    </w:p>
    <w:p w:rsidR="00000000" w:rsidDel="00000000" w:rsidP="00000000" w:rsidRDefault="00000000" w:rsidRPr="00000000" w14:paraId="00000002">
      <w:pPr>
        <w:spacing w:line="360" w:lineRule="auto"/>
        <w:ind w:left="709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line="360" w:lineRule="auto"/>
        <w:ind w:left="709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   ) Quero manter o vínculo com o IAMSPE,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para que possa usufruir dos serviços de assistência médica em contraprestação da contribuição mensal;</w:t>
      </w:r>
    </w:p>
    <w:p w:rsidR="00000000" w:rsidDel="00000000" w:rsidP="00000000" w:rsidRDefault="00000000" w:rsidRPr="00000000" w14:paraId="00000005">
      <w:pPr>
        <w:spacing w:line="360" w:lineRule="auto"/>
        <w:ind w:left="709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709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   ) Não integro qualquer ação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individual ou em litisconsórcio ativo contra o IAMSPE 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quer se desvincular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line="360" w:lineRule="auto"/>
        <w:ind w:left="709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709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   ) Integro ação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individual ou em litisconsórcio ativo contra o IAMSPE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com decisão favorável ou não à desvinculação,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em sede liminar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Nesse caso, segundo a lei 12.016/09, art. 22, § 1º, é imperiosa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 desistência do mandado de segurança individual no prazo de 30 (trinta) dias,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para que a defensora ou defensor se beneficie das decisões proferidas no mandado de segurança coletivo,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 que deverá ser comprovado diretamente perante o DRH para a cessação dos descontos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0B">
      <w:pPr>
        <w:spacing w:line="360" w:lineRule="auto"/>
        <w:ind w:left="709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709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2700"/>
        </w:tabs>
        <w:spacing w:line="36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   ) Integro ação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individual ou em litisconsórcio ativo contra o IAMSPE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com sentença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favorável ou desfavorável à desvinculação, ainda que não transitada em julgado.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Nesse caso, 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 defensora ou defensor não poderá se beneficiar das decisões proferidas no mandado de segurança coletivo impetrado pela APADEP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vez que a lei 12.016/09, art. 22, § 1º, impõe a desistência do mandado de segurança individual e tal ato processual é vedado após a prolação da sentença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-5245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São Paulo, __ de _______de____</w:t>
      </w:r>
    </w:p>
    <w:p w:rsidR="00000000" w:rsidDel="00000000" w:rsidP="00000000" w:rsidRDefault="00000000" w:rsidRPr="00000000" w14:paraId="00000011">
      <w:pPr>
        <w:tabs>
          <w:tab w:val="left" w:leader="none" w:pos="-5245"/>
        </w:tabs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-5245"/>
        </w:tabs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-5245"/>
          <w:tab w:val="center" w:leader="none" w:pos="4394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134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10019.0" w:type="dxa"/>
      <w:jc w:val="left"/>
      <w:tblInd w:w="-624.0" w:type="dxa"/>
      <w:tblLayout w:type="fixed"/>
      <w:tblLook w:val="0400"/>
    </w:tblPr>
    <w:tblGrid>
      <w:gridCol w:w="5363"/>
      <w:gridCol w:w="4656"/>
      <w:tblGridChange w:id="0">
        <w:tblGrid>
          <w:gridCol w:w="5363"/>
          <w:gridCol w:w="4656"/>
        </w:tblGrid>
      </w:tblGridChange>
    </w:tblGrid>
    <w:tr>
      <w:trPr>
        <w:cantSplit w:val="0"/>
        <w:trHeight w:val="649" w:hRule="atLeast"/>
        <w:tblHeader w:val="0"/>
      </w:trPr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26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7B9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67B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67B93"/>
    <w:rPr>
      <w:rFonts w:ascii="Calibri" w:cs="Times New Roman" w:eastAsia="Calibri" w:hAnsi="Calibri"/>
    </w:rPr>
  </w:style>
  <w:style w:type="paragraph" w:styleId="Rodap">
    <w:name w:val="footer"/>
    <w:basedOn w:val="Normal"/>
    <w:link w:val="RodapChar"/>
    <w:uiPriority w:val="99"/>
    <w:unhideWhenUsed w:val="1"/>
    <w:rsid w:val="00767B9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7B9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Fz9ibsACiw183Pw6r6lemyO2sQ==">AMUW2mX8qmBTZb7+SYAXgs6FB/d9CK4erQzxICi9ONW9kE/zxN7txU0M2wKvR5jUAJ3Wo5xKdlZ+qFxTMggGloPQdNUmlhwBeuNesUh2OlEW/b2UIZcE8lIIDUBWRXFYNGLEfj3LSwO8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2023-01-31T18:00:00Z</dcterms:created>
  <dc:creator>ANA LUCIA PINTO GOUVEIA</dc:creator>
</cp:coreProperties>
</file>